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660"/>
        </w:tabs>
        <w:bidi w:val="1"/>
        <w:jc w:val="right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بلاغ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صحفي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           </w:t>
      </w:r>
    </w:p>
    <w:p w:rsidR="00000000" w:rsidDel="00000000" w:rsidP="00000000" w:rsidRDefault="00000000" w:rsidRPr="00000000" w14:paraId="00000002">
      <w:pPr>
        <w:tabs>
          <w:tab w:val="left" w:pos="3660"/>
        </w:tabs>
        <w:bidi w:val="1"/>
        <w:ind w:left="-428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الرعاية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لصاحب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الجلالة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السادس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نصره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تنظم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والثقافة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والتواصل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بشراكة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إقليم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آسفي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الدورة</w:t>
      </w:r>
      <w:r w:rsidDel="00000000" w:rsidR="00000000" w:rsidRPr="00000000">
        <w:rPr>
          <w:sz w:val="28"/>
          <w:szCs w:val="28"/>
          <w:rtl w:val="1"/>
        </w:rPr>
        <w:t xml:space="preserve"> 21 </w:t>
      </w:r>
      <w:r w:rsidDel="00000000" w:rsidR="00000000" w:rsidRPr="00000000">
        <w:rPr>
          <w:sz w:val="28"/>
          <w:szCs w:val="28"/>
          <w:rtl w:val="1"/>
        </w:rPr>
        <w:t xml:space="preserve">للمهرجان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لفن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بمدينة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آسفي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الممتدة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27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30 </w:t>
      </w:r>
      <w:r w:rsidDel="00000000" w:rsidR="00000000" w:rsidRPr="00000000">
        <w:rPr>
          <w:sz w:val="28"/>
          <w:szCs w:val="28"/>
          <w:rtl w:val="1"/>
        </w:rPr>
        <w:t xml:space="preserve">يوليوز</w:t>
      </w:r>
      <w:r w:rsidDel="00000000" w:rsidR="00000000" w:rsidRPr="00000000">
        <w:rPr>
          <w:sz w:val="28"/>
          <w:szCs w:val="28"/>
          <w:rtl w:val="1"/>
        </w:rPr>
        <w:t xml:space="preserve"> 2022. </w:t>
      </w:r>
    </w:p>
    <w:p w:rsidR="00000000" w:rsidDel="00000000" w:rsidP="00000000" w:rsidRDefault="00000000" w:rsidRPr="00000000" w14:paraId="00000003">
      <w:pPr>
        <w:tabs>
          <w:tab w:val="left" w:pos="3660"/>
        </w:tabs>
        <w:bidi w:val="1"/>
        <w:ind w:left="-428" w:firstLine="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ويأتي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النسخة</w:t>
      </w:r>
      <w:r w:rsidDel="00000000" w:rsidR="00000000" w:rsidRPr="00000000">
        <w:rPr>
          <w:sz w:val="28"/>
          <w:szCs w:val="28"/>
          <w:rtl w:val="1"/>
        </w:rPr>
        <w:t xml:space="preserve"> 21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مهرجان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الانقطاع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نتيجة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الظرفية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الوبائية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عرفتها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بلادنا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تفشي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جائحة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كورونا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وتبصم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التظاهرة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طموح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يرتقي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بفن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كتعبير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إنساني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الروافد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يستقي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مرجعيته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المغربي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ليخترق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آفاق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شعار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فن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العيطة</w:t>
      </w:r>
      <w:r w:rsidDel="00000000" w:rsidR="00000000" w:rsidRPr="00000000">
        <w:rPr>
          <w:sz w:val="28"/>
          <w:szCs w:val="28"/>
          <w:rtl w:val="1"/>
        </w:rPr>
        <w:t xml:space="preserve"> ... </w:t>
      </w:r>
      <w:r w:rsidDel="00000000" w:rsidR="00000000" w:rsidRPr="00000000">
        <w:rPr>
          <w:sz w:val="28"/>
          <w:szCs w:val="28"/>
          <w:rtl w:val="1"/>
        </w:rPr>
        <w:t xml:space="preserve">المشترك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المتعدد</w:t>
      </w:r>
      <w:r w:rsidDel="00000000" w:rsidR="00000000" w:rsidRPr="00000000">
        <w:rPr>
          <w:sz w:val="28"/>
          <w:szCs w:val="28"/>
          <w:rtl w:val="1"/>
        </w:rPr>
        <w:t xml:space="preserve">".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وتكريسا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تنفتح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الدورة</w:t>
      </w:r>
      <w:r w:rsidDel="00000000" w:rsidR="00000000" w:rsidRPr="00000000">
        <w:rPr>
          <w:sz w:val="28"/>
          <w:szCs w:val="28"/>
          <w:rtl w:val="1"/>
        </w:rPr>
        <w:t xml:space="preserve"> 21 </w:t>
      </w:r>
      <w:r w:rsidDel="00000000" w:rsidR="00000000" w:rsidRPr="00000000">
        <w:rPr>
          <w:sz w:val="28"/>
          <w:szCs w:val="28"/>
          <w:rtl w:val="1"/>
        </w:rPr>
        <w:t xml:space="preserve">لفن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الفلامينكو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إسبانيا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كضيفة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وستكون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المهرجان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للوقوف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الإيقاعية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والمقامات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الموسيقية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الأصيل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المغربية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روافدها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الحضارية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والانسانية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3660"/>
        </w:tabs>
        <w:bidi w:val="1"/>
        <w:ind w:left="-428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تشارك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الدورة</w:t>
      </w:r>
      <w:r w:rsidDel="00000000" w:rsidR="00000000" w:rsidRPr="00000000">
        <w:rPr>
          <w:sz w:val="28"/>
          <w:szCs w:val="28"/>
          <w:rtl w:val="1"/>
        </w:rPr>
        <w:t xml:space="preserve"> 22 </w:t>
      </w:r>
      <w:r w:rsidDel="00000000" w:rsidR="00000000" w:rsidRPr="00000000">
        <w:rPr>
          <w:sz w:val="28"/>
          <w:szCs w:val="28"/>
          <w:rtl w:val="1"/>
        </w:rPr>
        <w:t xml:space="preserve">فرقة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مناطق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المغرب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الأنماط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الإيقاعية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الحصباوي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الحوزي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الزعري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المرساوي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الملالي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والجبلي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سهرات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يحييها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الفنان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حجيب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فرحان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والفنان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الستاتي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والفنان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المحفوظي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5">
      <w:pPr>
        <w:tabs>
          <w:tab w:val="left" w:pos="3660"/>
        </w:tabs>
        <w:bidi w:val="1"/>
        <w:ind w:left="-428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وسعيا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للوقوف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ماهية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العيطة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وتعميق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ارهاصاته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وامتداداته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برمجة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أكاديمية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موسعة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بمشاركة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أساتذة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وباحثين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سيقارب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الأساتذة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حسن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نجمي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ياسين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عدنان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مصطفى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مصطفى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سلطانة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بتنسيق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فردوس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تيمات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الضوء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الأصيل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6">
      <w:pPr>
        <w:tabs>
          <w:tab w:val="left" w:pos="3660"/>
        </w:tabs>
        <w:bidi w:val="1"/>
        <w:ind w:left="-428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بالموازاة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المهرجان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جماعي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للفنون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التشكيلية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بشراكة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جمعية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أفق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أرت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للثقافة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والفن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المكرمين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بالإضافة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تراثي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للآلات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الموسيقية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بفن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العيطة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7">
      <w:pPr>
        <w:tabs>
          <w:tab w:val="left" w:pos="3660"/>
        </w:tabs>
        <w:bidi w:val="1"/>
        <w:ind w:left="-428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وترسيخا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لثقافة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الاعتراف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الدورة</w:t>
      </w:r>
      <w:r w:rsidDel="00000000" w:rsidR="00000000" w:rsidRPr="00000000">
        <w:rPr>
          <w:sz w:val="28"/>
          <w:szCs w:val="28"/>
          <w:rtl w:val="1"/>
        </w:rPr>
        <w:t xml:space="preserve"> 21 </w:t>
      </w:r>
      <w:r w:rsidDel="00000000" w:rsidR="00000000" w:rsidRPr="00000000">
        <w:rPr>
          <w:sz w:val="28"/>
          <w:szCs w:val="28"/>
          <w:rtl w:val="1"/>
        </w:rPr>
        <w:t xml:space="preserve">لمهرجان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عرفان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وامتنان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فاطمة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الجبيلي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تكريمية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باعتبارهما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هامتين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فنيتين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ساهمتا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مشوارهما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التعريف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بفن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استمراريته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8">
      <w:pPr>
        <w:tabs>
          <w:tab w:val="left" w:pos="3660"/>
        </w:tabs>
        <w:bidi w:val="1"/>
        <w:ind w:left="-428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جدير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المهرجان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لفن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يندرج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المهرجانات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والثقافة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والتواصل</w:t>
      </w:r>
      <w:r w:rsidDel="00000000" w:rsidR="00000000" w:rsidRPr="00000000">
        <w:rPr>
          <w:sz w:val="28"/>
          <w:szCs w:val="28"/>
          <w:rtl w:val="1"/>
        </w:rPr>
        <w:t xml:space="preserve"> –</w:t>
      </w:r>
      <w:r w:rsidDel="00000000" w:rsidR="00000000" w:rsidRPr="00000000">
        <w:rPr>
          <w:sz w:val="28"/>
          <w:szCs w:val="28"/>
          <w:rtl w:val="1"/>
        </w:rPr>
        <w:t xml:space="preserve">قطاع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الثقافة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تثمين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الموروث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الحضاري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المغربي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الذاكرة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الجماعية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تأسيسا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للحاضر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واستشرافا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للمستقبل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sectPr>
      <w:headerReference r:id="rId6" w:type="default"/>
      <w:footerReference r:id="rId7" w:type="default"/>
      <w:pgSz w:h="16838" w:w="11906" w:orient="portrait"/>
      <w:pgMar w:bottom="1560" w:top="0" w:left="993" w:right="1418" w:header="0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2822"/>
        <w:tab w:val="center" w:pos="4781"/>
      </w:tabs>
      <w:bidi w:val="1"/>
      <w:spacing w:after="0" w:before="0" w:line="240" w:lineRule="auto"/>
      <w:ind w:left="771" w:right="0" w:firstLine="0"/>
      <w:jc w:val="center"/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2822"/>
        <w:tab w:val="center" w:pos="4781"/>
      </w:tabs>
      <w:bidi w:val="1"/>
      <w:spacing w:after="0" w:before="0" w:line="240" w:lineRule="auto"/>
      <w:ind w:left="771" w:right="0" w:firstLine="0"/>
      <w:jc w:val="center"/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-70" w:firstLine="0"/>
      <w:jc w:val="center"/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2822"/>
        <w:tab w:val="center" w:pos="4781"/>
      </w:tabs>
      <w:bidi w:val="1"/>
      <w:spacing w:after="0" w:before="0" w:line="240" w:lineRule="auto"/>
      <w:ind w:left="771" w:right="0" w:firstLine="0"/>
      <w:jc w:val="center"/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المديرية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الإقليمية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للثقافة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بآسفي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واليوسفية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قشلةدار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السلطان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، 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ص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.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ب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: 243 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آسفي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720"/>
      </w:tabs>
      <w:spacing w:after="0" w:before="0" w:line="240" w:lineRule="auto"/>
      <w:ind w:left="-360" w:right="0" w:firstLine="0"/>
      <w:jc w:val="center"/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Directionprovinciale de la CultureSafi– Dar Sultan, AV MyYoussef ,B.P  S243– Safi principale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center" w:pos="4570"/>
        <w:tab w:val="left" w:pos="7590"/>
      </w:tabs>
      <w:spacing w:after="0" w:before="0" w:line="240" w:lineRule="auto"/>
      <w:ind w:left="0" w:right="-70" w:firstLine="0"/>
      <w:jc w:val="left"/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Tél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. / 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fax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 : 0524463895 / 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الفاكس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:</w:t>
      <w:tab/>
    </w:r>
  </w:p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Fonts w:ascii="Quattrocento Sans" w:cs="Quattrocento Sans" w:eastAsia="Quattrocento Sans" w:hAnsi="Quattrocento Sans"/>
        <w:b w:val="1"/>
        <w:sz w:val="16"/>
        <w:szCs w:val="16"/>
        <w:rtl w:val="0"/>
      </w:rPr>
      <w:t xml:space="preserve">E-mail </w:t>
    </w:r>
    <w:hyperlink r:id="rId1"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ff"/>
          <w:sz w:val="16"/>
          <w:szCs w:val="16"/>
          <w:u w:val="single"/>
          <w:rtl w:val="0"/>
        </w:rPr>
        <w:t xml:space="preserve">d</w:t>
      </w:r>
    </w:hyperlink>
    <w:hyperlink r:id="rId2">
      <w:r w:rsidDel="00000000" w:rsidR="00000000" w:rsidRPr="00000000">
        <w:rPr>
          <w:color w:val="0000ff"/>
          <w:u w:val="single"/>
          <w:rtl w:val="0"/>
        </w:rPr>
        <w:t xml:space="preserve">ir.prov.safi</w:t>
      </w:r>
    </w:hyperlink>
    <w:hyperlink r:id="rId3"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ff"/>
          <w:sz w:val="16"/>
          <w:szCs w:val="16"/>
          <w:u w:val="single"/>
          <w:rtl w:val="0"/>
        </w:rPr>
        <w:t xml:space="preserve">@minculture.gov.ma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812.0" w:type="dxa"/>
      <w:jc w:val="left"/>
      <w:tblInd w:w="-62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034"/>
      <w:gridCol w:w="4446"/>
      <w:gridCol w:w="3332"/>
      <w:tblGridChange w:id="0">
        <w:tblGrid>
          <w:gridCol w:w="3034"/>
          <w:gridCol w:w="4446"/>
          <w:gridCol w:w="3332"/>
        </w:tblGrid>
      </w:tblGridChange>
    </w:tblGrid>
    <w:tr>
      <w:trPr>
        <w:cantSplit w:val="0"/>
        <w:trHeight w:val="1580" w:hRule="atLeast"/>
        <w:tblHeader w:val="0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0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tabs>
              <w:tab w:val="left" w:pos="1037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tabs>
              <w:tab w:val="left" w:pos="1037"/>
            </w:tabs>
            <w:spacing w:after="0"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tabs>
              <w:tab w:val="left" w:pos="1037"/>
            </w:tabs>
            <w:spacing w:after="0"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Direction Régionale de la Culture</w:t>
          </w:r>
        </w:p>
        <w:p w:rsidR="00000000" w:rsidDel="00000000" w:rsidP="00000000" w:rsidRDefault="00000000" w:rsidRPr="00000000" w14:paraId="0000000E">
          <w:pPr>
            <w:tabs>
              <w:tab w:val="left" w:pos="1037"/>
            </w:tabs>
            <w:spacing w:after="0"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Région Marrakech – Safi</w:t>
          </w:r>
        </w:p>
        <w:p w:rsidR="00000000" w:rsidDel="00000000" w:rsidP="00000000" w:rsidRDefault="00000000" w:rsidRPr="00000000" w14:paraId="0000000F">
          <w:pPr>
            <w:tabs>
              <w:tab w:val="left" w:pos="1037"/>
            </w:tabs>
            <w:spacing w:after="0" w:line="240" w:lineRule="auto"/>
            <w:rPr>
              <w:b w:val="1"/>
              <w:color w:val="948a54"/>
              <w:sz w:val="20"/>
              <w:szCs w:val="20"/>
            </w:rPr>
          </w:pPr>
          <w:r w:rsidDel="00000000" w:rsidR="00000000" w:rsidRPr="00000000">
            <w:rPr>
              <w:b w:val="1"/>
              <w:color w:val="948a54"/>
              <w:sz w:val="20"/>
              <w:szCs w:val="20"/>
              <w:rtl w:val="1"/>
            </w:rPr>
            <w:t xml:space="preserve">ــــــــــــــــــــــــــــــ</w:t>
          </w:r>
        </w:p>
        <w:p w:rsidR="00000000" w:rsidDel="00000000" w:rsidP="00000000" w:rsidRDefault="00000000" w:rsidRPr="00000000" w14:paraId="00000010">
          <w:pPr>
            <w:tabs>
              <w:tab w:val="left" w:pos="1037"/>
            </w:tabs>
            <w:spacing w:after="0" w:line="240" w:lineRule="auto"/>
            <w:rPr>
              <w:color w:val="948a54"/>
            </w:rPr>
          </w:pPr>
          <w:r w:rsidDel="00000000" w:rsidR="00000000" w:rsidRPr="00000000">
            <w:rPr>
              <w:b w:val="1"/>
              <w:color w:val="548dd4"/>
              <w:sz w:val="20"/>
              <w:szCs w:val="20"/>
              <w:rtl w:val="0"/>
            </w:rPr>
            <w:t xml:space="preserve">Direction provinciale                     de Safi et Youssoufia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2780690" cy="864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6792" l="1959" r="980" t="34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690" cy="864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-141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-141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المديـريــة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الجهـويــة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للثقـافــة</w:t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جـهة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مراكــش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ــ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آســفي</w:t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948a54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948a54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ـــــــــــــــــــــــــــــــــــــــ</w:t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548dd4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548dd4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المديرية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548dd4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548dd4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الإقليمية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548dd4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548dd4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للثقافة</w:t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48a54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548dd4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بآسفي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548dd4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548dd4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واليوسفية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ir.prov.safi@minculture.gov.ma" TargetMode="External"/><Relationship Id="rId2" Type="http://schemas.openxmlformats.org/officeDocument/2006/relationships/hyperlink" Target="mailto:dir.prov.safi@minculture.gov.ma" TargetMode="External"/><Relationship Id="rId3" Type="http://schemas.openxmlformats.org/officeDocument/2006/relationships/hyperlink" Target="mailto:dir.prov.safi@minculture.gov.m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