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8C95" w14:textId="77777777" w:rsidR="0087647A" w:rsidRDefault="0087647A" w:rsidP="00352347">
      <w:pPr>
        <w:jc w:val="center"/>
        <w:rPr>
          <w:b/>
          <w:bCs/>
          <w:u w:val="single"/>
        </w:rPr>
      </w:pPr>
    </w:p>
    <w:p w14:paraId="6515E9F6" w14:textId="783DB9BD" w:rsidR="00352347" w:rsidRDefault="00352347" w:rsidP="00352347">
      <w:pPr>
        <w:jc w:val="center"/>
        <w:rPr>
          <w:b/>
          <w:bCs/>
          <w:u w:val="single"/>
        </w:rPr>
      </w:pPr>
      <w:r w:rsidRPr="00352347">
        <w:rPr>
          <w:b/>
          <w:bCs/>
          <w:u w:val="single"/>
        </w:rPr>
        <w:t>PRIMES ALLOUÉES AUX CANDIDATS RETENUS</w:t>
      </w:r>
    </w:p>
    <w:p w14:paraId="5C5B6441" w14:textId="77777777" w:rsidR="00352347" w:rsidRPr="00352347" w:rsidRDefault="00352347" w:rsidP="00352347">
      <w:pPr>
        <w:jc w:val="center"/>
        <w:rPr>
          <w:b/>
          <w:bCs/>
          <w:u w:val="single"/>
        </w:rPr>
      </w:pPr>
    </w:p>
    <w:p w14:paraId="14BD7157" w14:textId="0A24337F" w:rsidR="00352347" w:rsidRDefault="00CC6637" w:rsidP="00352347">
      <w:pPr>
        <w:jc w:val="both"/>
      </w:pPr>
      <w:r w:rsidRPr="00CC6637">
        <w:t xml:space="preserve">Les 5 candidats retenus disposeront d'une prime fixe de </w:t>
      </w:r>
      <w:r w:rsidRPr="00CC6637">
        <w:rPr>
          <w:b/>
          <w:bCs/>
        </w:rPr>
        <w:t xml:space="preserve">300.000 </w:t>
      </w:r>
      <w:r w:rsidRPr="00CC6637">
        <w:t>dirhams par candidat.</w:t>
      </w:r>
    </w:p>
    <w:p w14:paraId="7F6D3151" w14:textId="77777777" w:rsidR="0087647A" w:rsidRPr="00CC6637" w:rsidRDefault="0087647A" w:rsidP="00352347">
      <w:pPr>
        <w:jc w:val="both"/>
      </w:pPr>
    </w:p>
    <w:p w14:paraId="39B0B8A8" w14:textId="77777777" w:rsidR="00352347" w:rsidRDefault="00352347" w:rsidP="00352347">
      <w:pPr>
        <w:jc w:val="both"/>
      </w:pPr>
      <w:r>
        <w:t xml:space="preserve">Les honoraires des architectes ou groupement d'architectes sont de </w:t>
      </w:r>
      <w:r w:rsidRPr="00CC6637">
        <w:rPr>
          <w:b/>
          <w:bCs/>
        </w:rPr>
        <w:t>dix pour cent (10%)</w:t>
      </w:r>
      <w:r>
        <w:t xml:space="preserve"> du montant hors taxes des travaux réellement exécutés et régulièrement constatés.</w:t>
      </w:r>
    </w:p>
    <w:p w14:paraId="68FC2FD0" w14:textId="77777777" w:rsidR="0087647A" w:rsidRDefault="0087647A" w:rsidP="00352347">
      <w:pPr>
        <w:jc w:val="both"/>
      </w:pPr>
    </w:p>
    <w:p w14:paraId="25532707" w14:textId="12F036E0" w:rsidR="00352347" w:rsidRDefault="00352347" w:rsidP="00352347">
      <w:pPr>
        <w:jc w:val="both"/>
      </w:pPr>
      <w:r>
        <w:t>Les modalités de paiement se feront par tranches, l'échéancier de paiement suivant les différentes étapes de conception et réalisation des aménagements, sera défini par le maître d'ouvrage délégué au moment de la signature du contrat.</w:t>
      </w:r>
    </w:p>
    <w:p w14:paraId="363D5786" w14:textId="77777777" w:rsidR="0087647A" w:rsidRDefault="0087647A" w:rsidP="00352347">
      <w:pPr>
        <w:jc w:val="both"/>
      </w:pPr>
    </w:p>
    <w:p w14:paraId="45A0C4FA" w14:textId="77777777" w:rsidR="00352347" w:rsidRDefault="00352347" w:rsidP="00352347">
      <w:pPr>
        <w:jc w:val="both"/>
      </w:pPr>
      <w:r>
        <w:t>Le maître d'ouvrage fournira tous les documents nécessaires pour faciliter le transfert des fonds destinés au règlement des prestataires étrangers, dans le respect de la réglementation en vigueur.</w:t>
      </w:r>
    </w:p>
    <w:p w14:paraId="1F15046B" w14:textId="77777777" w:rsidR="0087647A" w:rsidRDefault="0087647A" w:rsidP="00352347">
      <w:pPr>
        <w:jc w:val="both"/>
      </w:pPr>
    </w:p>
    <w:p w14:paraId="206DB1EE" w14:textId="41E022AA" w:rsidR="0087647A" w:rsidRDefault="0087647A" w:rsidP="00352347">
      <w:pPr>
        <w:jc w:val="both"/>
      </w:pPr>
      <w:r>
        <w:t>Les frais de transport aller-retour, de clou à clou, entre le Maroc et le Pavillon du Royaume du Maroc à l'Arsenal de Venise, ainsi que l'assurance de l'œuvre après son achèvement, seront intégralement supportés par l'architecte.</w:t>
      </w:r>
    </w:p>
    <w:p w14:paraId="5F3622F6" w14:textId="77777777" w:rsidR="0051192A" w:rsidRDefault="0051192A" w:rsidP="00352347">
      <w:pPr>
        <w:jc w:val="both"/>
      </w:pPr>
    </w:p>
    <w:p w14:paraId="43026A79" w14:textId="2C4D73BE" w:rsidR="000C57CE" w:rsidRDefault="00352347" w:rsidP="00352347">
      <w:pPr>
        <w:jc w:val="both"/>
      </w:pPr>
      <w:r>
        <w:t>Le maître d'ouvrage facilitera les demandes administratives de VISA de l'équipe technique chargée de la réalisation.</w:t>
      </w:r>
    </w:p>
    <w:p w14:paraId="7E37FCF1" w14:textId="77777777" w:rsidR="0087647A" w:rsidRDefault="0087647A" w:rsidP="00352347">
      <w:pPr>
        <w:jc w:val="both"/>
      </w:pPr>
    </w:p>
    <w:sectPr w:rsidR="008764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78CA"/>
    <w:multiLevelType w:val="multilevel"/>
    <w:tmpl w:val="6FAE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29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47"/>
    <w:rsid w:val="000C57CE"/>
    <w:rsid w:val="001D4CAB"/>
    <w:rsid w:val="00352347"/>
    <w:rsid w:val="003C076C"/>
    <w:rsid w:val="0051192A"/>
    <w:rsid w:val="0067795F"/>
    <w:rsid w:val="0087647A"/>
    <w:rsid w:val="00AA5911"/>
    <w:rsid w:val="00C74EAE"/>
    <w:rsid w:val="00CC66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8FB7"/>
  <w15:chartTrackingRefBased/>
  <w15:docId w15:val="{EBB5C473-69A3-4D9A-B37A-76BEEC39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52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52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5234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5234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5234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5234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5234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5234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5234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5234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5234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5234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5234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5234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5234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5234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5234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52347"/>
    <w:rPr>
      <w:rFonts w:eastAsiaTheme="majorEastAsia" w:cstheme="majorBidi"/>
      <w:color w:val="272727" w:themeColor="text1" w:themeTint="D8"/>
    </w:rPr>
  </w:style>
  <w:style w:type="paragraph" w:styleId="Titre">
    <w:name w:val="Title"/>
    <w:basedOn w:val="Normal"/>
    <w:next w:val="Normal"/>
    <w:link w:val="TitreCar"/>
    <w:uiPriority w:val="10"/>
    <w:qFormat/>
    <w:rsid w:val="00352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5234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5234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5234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2347"/>
    <w:pPr>
      <w:spacing w:before="160"/>
      <w:jc w:val="center"/>
    </w:pPr>
    <w:rPr>
      <w:i/>
      <w:iCs/>
      <w:color w:val="404040" w:themeColor="text1" w:themeTint="BF"/>
    </w:rPr>
  </w:style>
  <w:style w:type="character" w:customStyle="1" w:styleId="CitationCar">
    <w:name w:val="Citation Car"/>
    <w:basedOn w:val="Policepardfaut"/>
    <w:link w:val="Citation"/>
    <w:uiPriority w:val="29"/>
    <w:rsid w:val="00352347"/>
    <w:rPr>
      <w:i/>
      <w:iCs/>
      <w:color w:val="404040" w:themeColor="text1" w:themeTint="BF"/>
    </w:rPr>
  </w:style>
  <w:style w:type="paragraph" w:styleId="Paragraphedeliste">
    <w:name w:val="List Paragraph"/>
    <w:basedOn w:val="Normal"/>
    <w:uiPriority w:val="34"/>
    <w:qFormat/>
    <w:rsid w:val="00352347"/>
    <w:pPr>
      <w:ind w:left="720"/>
      <w:contextualSpacing/>
    </w:pPr>
  </w:style>
  <w:style w:type="character" w:styleId="Accentuationintense">
    <w:name w:val="Intense Emphasis"/>
    <w:basedOn w:val="Policepardfaut"/>
    <w:uiPriority w:val="21"/>
    <w:qFormat/>
    <w:rsid w:val="00352347"/>
    <w:rPr>
      <w:i/>
      <w:iCs/>
      <w:color w:val="0F4761" w:themeColor="accent1" w:themeShade="BF"/>
    </w:rPr>
  </w:style>
  <w:style w:type="paragraph" w:styleId="Citationintense">
    <w:name w:val="Intense Quote"/>
    <w:basedOn w:val="Normal"/>
    <w:next w:val="Normal"/>
    <w:link w:val="CitationintenseCar"/>
    <w:uiPriority w:val="30"/>
    <w:qFormat/>
    <w:rsid w:val="00352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52347"/>
    <w:rPr>
      <w:i/>
      <w:iCs/>
      <w:color w:val="0F4761" w:themeColor="accent1" w:themeShade="BF"/>
    </w:rPr>
  </w:style>
  <w:style w:type="character" w:styleId="Rfrenceintense">
    <w:name w:val="Intense Reference"/>
    <w:basedOn w:val="Policepardfaut"/>
    <w:uiPriority w:val="32"/>
    <w:qFormat/>
    <w:rsid w:val="003523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166</Words>
  <Characters>914</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Jeaidi</dc:creator>
  <cp:keywords/>
  <dc:description/>
  <cp:lastModifiedBy>BENYAACOUB MOHAMMED</cp:lastModifiedBy>
  <cp:revision>4</cp:revision>
  <dcterms:created xsi:type="dcterms:W3CDTF">2026-07-16T18:04:00Z</dcterms:created>
  <dcterms:modified xsi:type="dcterms:W3CDTF">2026-07-20T21:32:00Z</dcterms:modified>
</cp:coreProperties>
</file>